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04" w:rsidRPr="00CA1404" w:rsidRDefault="00CA1404" w:rsidP="00CA1404">
      <w:pPr>
        <w:spacing w:after="0" w:line="240" w:lineRule="auto"/>
        <w:jc w:val="center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CA1404">
        <w:rPr>
          <w:rFonts w:ascii="Fotogram Light" w:eastAsia="Fotogram Light" w:hAnsi="Fotogram Light" w:cs="Fotogram Light"/>
          <w:b/>
          <w:sz w:val="20"/>
          <w:szCs w:val="20"/>
        </w:rPr>
        <w:t>Title</w:t>
      </w:r>
      <w:proofErr w:type="spellEnd"/>
      <w:r w:rsidRPr="00CA1404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CA1404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CA1404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CA1404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CA1404">
        <w:rPr>
          <w:rFonts w:ascii="Fotogram Light" w:eastAsia="Fotogram Light" w:hAnsi="Fotogram Light" w:cs="Fotogram Light"/>
          <w:b/>
          <w:sz w:val="20"/>
          <w:szCs w:val="20"/>
        </w:rPr>
        <w:t>:</w:t>
      </w:r>
      <w:r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bookmarkStart w:id="0" w:name="_GoBack"/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Special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Features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bookmarkEnd w:id="0"/>
      <w:proofErr w:type="spellEnd"/>
    </w:p>
    <w:p w:rsidR="00CA1404" w:rsidRPr="008555E9" w:rsidRDefault="00CA1404" w:rsidP="00CA1404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code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: 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>PSYM21-DC-106</w:t>
      </w:r>
    </w:p>
    <w:p w:rsidR="00CA1404" w:rsidRPr="008555E9" w:rsidRDefault="00CA1404" w:rsidP="00CA1404">
      <w:pPr>
        <w:spacing w:after="0" w:line="240" w:lineRule="auto"/>
        <w:jc w:val="center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Head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Szabó Laura</w:t>
      </w:r>
    </w:p>
    <w:p w:rsidR="00CA1404" w:rsidRPr="008555E9" w:rsidRDefault="00CA1404" w:rsidP="00CA1404">
      <w:pPr>
        <w:spacing w:after="0" w:line="240" w:lineRule="auto"/>
        <w:jc w:val="center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Academic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degree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PhD</w:t>
      </w:r>
    </w:p>
    <w:p w:rsidR="00CA1404" w:rsidRPr="008555E9" w:rsidRDefault="00CA1404" w:rsidP="00CA1404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Position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Habil.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associate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professor</w:t>
      </w:r>
    </w:p>
    <w:p w:rsidR="00CA1404" w:rsidRPr="008555E9" w:rsidRDefault="00CA1404" w:rsidP="00CA1404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sz w:val="20"/>
          <w:szCs w:val="20"/>
        </w:rPr>
      </w:pPr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MAB Status: 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>A (T)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Lecture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part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célja angolul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aim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is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current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from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different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aspects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providing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integrated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account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issue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The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cover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such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historical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latest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perspectives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methodology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outcomes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impacts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ecological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cultural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changes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ways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prevention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intervention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competences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1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Integrated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main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approaches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relevant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methodology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CA1404" w:rsidRPr="008555E9" w:rsidRDefault="00CA1404" w:rsidP="00CA1404">
      <w:pPr>
        <w:spacing w:after="0" w:line="240" w:lineRule="auto"/>
        <w:ind w:left="360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systems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complex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multi-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determined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autonomy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responsibility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3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acquired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own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accordance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ethical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guidelines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but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purposes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corresponding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level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competence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</w:t>
      </w:r>
    </w:p>
    <w:p w:rsidR="00CA1404" w:rsidRPr="008555E9" w:rsidRDefault="00CA1404" w:rsidP="00CA1404">
      <w:pPr>
        <w:spacing w:after="0" w:line="240" w:lineRule="auto"/>
        <w:ind w:left="360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Main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topics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pStyle w:val="Listaszerbekezds"/>
        <w:numPr>
          <w:ilvl w:val="0"/>
          <w:numId w:val="6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process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Theoretical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approaches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historical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contemporary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perspectives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7"/>
        </w:numPr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aims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agents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pStyle w:val="Listaszerbekezds"/>
        <w:numPr>
          <w:ilvl w:val="0"/>
          <w:numId w:val="7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practices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outcomes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6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systems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Determinants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strategies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Influences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macrosystem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The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impact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ecological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changes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Prevention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intervention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Methodological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</w:p>
    <w:p w:rsidR="00CA1404" w:rsidRPr="008555E9" w:rsidRDefault="00CA1404" w:rsidP="00CA1404">
      <w:pPr>
        <w:pStyle w:val="Listaszerbekezds"/>
        <w:numPr>
          <w:ilvl w:val="0"/>
          <w:numId w:val="8"/>
        </w:numPr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Latest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trends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teaching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methods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Interactive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lectures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requirements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five-point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scale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lastRenderedPageBreak/>
        <w:t>Active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participation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classes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in-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depth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required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exam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quiz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reflect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successful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Compulsory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CA1404" w:rsidRPr="008555E9" w:rsidRDefault="00CA1404" w:rsidP="00CA1404">
      <w:pPr>
        <w:spacing w:after="0" w:line="240" w:lineRule="auto"/>
        <w:ind w:left="567" w:hanging="567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Hadjar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Baier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D.,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Boehnke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K. (2008) The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hierarchic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self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-interest: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Value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Young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16(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3), 279–301</w:t>
      </w:r>
    </w:p>
    <w:p w:rsidR="00CA1404" w:rsidRPr="008555E9" w:rsidRDefault="00CA1404" w:rsidP="00CA1404">
      <w:pPr>
        <w:spacing w:after="0" w:line="240" w:lineRule="auto"/>
        <w:ind w:left="567" w:hanging="567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McDowell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D.J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Parke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R.D. (2005)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control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affect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predictors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children’s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display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rule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competence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peers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Social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Development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14, 440–457</w:t>
      </w:r>
    </w:p>
    <w:p w:rsidR="00CA1404" w:rsidRPr="008555E9" w:rsidRDefault="00CA1404" w:rsidP="00CA1404">
      <w:pPr>
        <w:spacing w:after="0" w:line="240" w:lineRule="auto"/>
        <w:ind w:left="567" w:hanging="567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Parke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R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.D.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(2004)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Annual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55, 365-399</w:t>
      </w:r>
    </w:p>
    <w:p w:rsidR="00CA1404" w:rsidRPr="008555E9" w:rsidRDefault="00CA1404" w:rsidP="00CA1404">
      <w:pPr>
        <w:spacing w:after="0" w:line="240" w:lineRule="auto"/>
        <w:ind w:left="567" w:hanging="567"/>
        <w:jc w:val="both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>Thomas, K.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Tessler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R.C. (2007)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Bicultural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among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adoptive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Where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is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is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way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Journal of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28(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9), 1189-1219</w:t>
      </w:r>
    </w:p>
    <w:p w:rsidR="00CA1404" w:rsidRPr="008555E9" w:rsidRDefault="00CA1404" w:rsidP="00CA1404">
      <w:pPr>
        <w:spacing w:after="0" w:line="240" w:lineRule="auto"/>
        <w:ind w:left="567" w:hanging="567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Tsushima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T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Gecas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V.  (2001)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Role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taking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socialization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single-parent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Journal of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22, 267-288</w:t>
      </w:r>
    </w:p>
    <w:p w:rsidR="00CA1404" w:rsidRPr="008555E9" w:rsidRDefault="00CA1404" w:rsidP="00CA1404">
      <w:pPr>
        <w:spacing w:after="0" w:line="240" w:lineRule="auto"/>
        <w:ind w:left="360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Recommended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reading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list</w:t>
      </w:r>
      <w:proofErr w:type="spellEnd"/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Fuwa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M. (2013)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Work-Family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Conflict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Attitudes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Toward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Marriage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Journal of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,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35(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6):731-754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Henderson,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D.,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Sayger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T. V.,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Horne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M. (2003)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Mothers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Look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Relationship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Between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Behavior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Problems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Marital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Satisfaction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Maternal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Depression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Cohesion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The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JournaL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: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Counseling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Therapy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Couples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11(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1), 33-41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>Huber, C. H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et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 (2010)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Resilience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Midlife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Marital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Satisfaction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The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Journal: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Counseling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Therapy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Couples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18(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2) 136-145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i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Shulman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J. L.,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Gotta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G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Green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R. (2012)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Marriage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Matter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?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Effects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Marriage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Anticipated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Same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-Sex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Couples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Journal of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33(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2) 158–181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  <w:highlight w:val="yellow"/>
        </w:rPr>
        <w:t>Practical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  <w:highlight w:val="yellow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  <w:highlight w:val="yellow"/>
        </w:rPr>
        <w:t>class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  <w:highlight w:val="yellow"/>
        </w:rPr>
        <w:t xml:space="preserve"> /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  <w:highlight w:val="yellow"/>
        </w:rPr>
        <w:t>Seminar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?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célja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Aim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CA1404" w:rsidRPr="008555E9" w:rsidRDefault="00CA1404" w:rsidP="00CA1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otogram Light" w:eastAsia="Fotogram Light" w:hAnsi="Fotogram Light" w:cs="Fotogram Light"/>
          <w:color w:val="212121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One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part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–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factors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protective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mechanisms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–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provides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 in-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depth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applied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.</w:t>
      </w:r>
    </w:p>
    <w:p w:rsidR="00CA1404" w:rsidRPr="008555E9" w:rsidRDefault="00CA1404" w:rsidP="00CA1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otogram Light" w:eastAsia="Fotogram Light" w:hAnsi="Fotogram Light" w:cs="Fotogram Light"/>
          <w:color w:val="212121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It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focuses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factors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protective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mechanisms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based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current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empirical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research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results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helping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students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gain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profound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atypical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dysfunctional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environmental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conditions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mechanisms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action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environmental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factors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diversity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development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outcomes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.</w:t>
      </w:r>
    </w:p>
    <w:p w:rsidR="00CA1404" w:rsidRPr="008555E9" w:rsidRDefault="00CA1404" w:rsidP="00CA1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Fotogram Light" w:eastAsia="Fotogram Light" w:hAnsi="Fotogram Light" w:cs="Fotogram Light"/>
          <w:color w:val="212121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During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course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, it is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essential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acquire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skills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apply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psychological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concepts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understanding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individual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cases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children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pathways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. During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term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, a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better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understanding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factors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protective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mechanisms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is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gained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through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analyzing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case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examples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discussing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practical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color w:val="212121"/>
          <w:sz w:val="20"/>
          <w:szCs w:val="20"/>
        </w:rPr>
        <w:t>.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outcome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competences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effects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factors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within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dynamics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typical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reactions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roles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living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high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environments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atypical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behaviours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solutions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role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loss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trauma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influence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structure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aspects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adoption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abuse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issues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ind w:left="360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attitude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systems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complex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multi-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determined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be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complexity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protective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factors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be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able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recognise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strengths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coping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potentials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individuals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aspiration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reading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current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articles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field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applied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science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skills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capacity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analyses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capacity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take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account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children’s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when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analysing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environmental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influence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capacity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notice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role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risk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protective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factors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those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influence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child’s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history</w:t>
      </w:r>
      <w:proofErr w:type="spellEnd"/>
    </w:p>
    <w:p w:rsidR="00CA1404" w:rsidRPr="008555E9" w:rsidRDefault="00CA1404" w:rsidP="00CA1404">
      <w:pPr>
        <w:spacing w:after="0" w:line="240" w:lineRule="auto"/>
        <w:ind w:left="360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Az oktatás tartalma angolul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Main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topics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course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parent-child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interactions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 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structure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dynamics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alcohol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drug-dependencies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maltreatment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illness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Losses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grief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overcoming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trauma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childhood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special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needs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Chronic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illness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families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Refugee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Prevention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intervention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possibilities</w:t>
      </w:r>
      <w:proofErr w:type="spellEnd"/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Forensic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activities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teaching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methods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</w:p>
    <w:p w:rsidR="00CA1404" w:rsidRPr="008555E9" w:rsidRDefault="00CA1404" w:rsidP="00CA1404">
      <w:pPr>
        <w:numPr>
          <w:ilvl w:val="0"/>
          <w:numId w:val="5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Group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discussion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main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topics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themes</w:t>
      </w:r>
      <w:proofErr w:type="spellEnd"/>
    </w:p>
    <w:p w:rsidR="00CA1404" w:rsidRPr="008555E9" w:rsidRDefault="00CA1404" w:rsidP="00CA1404">
      <w:pPr>
        <w:numPr>
          <w:ilvl w:val="0"/>
          <w:numId w:val="5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Presentations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chosen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topic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group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work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)</w:t>
      </w:r>
    </w:p>
    <w:p w:rsidR="00CA1404" w:rsidRPr="008555E9" w:rsidRDefault="00CA1404" w:rsidP="00CA1404">
      <w:pPr>
        <w:numPr>
          <w:ilvl w:val="0"/>
          <w:numId w:val="5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Reading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articles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  <w:t>A számonkérés és értékelés rendszere angolul</w:t>
            </w:r>
          </w:p>
        </w:tc>
      </w:tr>
    </w:tbl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b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Learning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requirements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mode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criteria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b/>
          <w:sz w:val="20"/>
          <w:szCs w:val="20"/>
        </w:rPr>
        <w:t>: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requirements</w:t>
      </w:r>
      <w:proofErr w:type="spellEnd"/>
    </w:p>
    <w:p w:rsidR="00CA1404" w:rsidRPr="008555E9" w:rsidRDefault="00CA1404" w:rsidP="00CA1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active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participation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classes</w:t>
      </w:r>
      <w:proofErr w:type="spellEnd"/>
    </w:p>
    <w:p w:rsidR="00CA1404" w:rsidRPr="008555E9" w:rsidRDefault="00CA1404" w:rsidP="00CA1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3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types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assignments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are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required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completing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seminar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:</w:t>
      </w:r>
    </w:p>
    <w:p w:rsidR="00CA1404" w:rsidRPr="008555E9" w:rsidRDefault="00CA1404" w:rsidP="00CA1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‘mini </w:t>
      </w:r>
      <w:proofErr w:type="spellStart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assignments</w:t>
      </w:r>
      <w:proofErr w:type="spellEnd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’</w:t>
      </w:r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–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asynchron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activities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Canvas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e.g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answering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questions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after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watching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video) – </w:t>
      </w:r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6 mini </w:t>
      </w:r>
      <w:proofErr w:type="spellStart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assignments</w:t>
      </w:r>
      <w:proofErr w:type="spellEnd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should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completed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during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semester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(more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than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6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options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available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but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6 is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minimum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that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students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must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hand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in)</w:t>
      </w:r>
    </w:p>
    <w:p w:rsidR="00CA1404" w:rsidRPr="008555E9" w:rsidRDefault="00CA1404" w:rsidP="00CA1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presentation</w:t>
      </w:r>
      <w:proofErr w:type="spellEnd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 xml:space="preserve"> </w:t>
      </w:r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– preparing a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presentation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;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each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student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work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different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topic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(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topics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presentation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dates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selected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Canvas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)</w:t>
      </w:r>
    </w:p>
    <w:p w:rsidR="00CA1404" w:rsidRPr="008555E9" w:rsidRDefault="00CA1404" w:rsidP="00CA14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b/>
          <w:color w:val="000000"/>
          <w:sz w:val="20"/>
          <w:szCs w:val="20"/>
        </w:rPr>
        <w:t>paper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–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students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should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choose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another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topic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writing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paper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–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this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is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not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rather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a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collection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practical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information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regarding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practical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issues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that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topic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–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sign-up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for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topics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be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available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on</w:t>
      </w:r>
      <w:proofErr w:type="spellEnd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color w:val="000000"/>
          <w:sz w:val="20"/>
          <w:szCs w:val="20"/>
        </w:rPr>
        <w:t>Canvas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mode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five-point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scale</w:t>
      </w:r>
      <w:proofErr w:type="spellEnd"/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criteria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evaluation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: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Active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participation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during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classes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an in-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depth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required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:rsidR="00CA1404" w:rsidRPr="008555E9" w:rsidRDefault="00CA1404" w:rsidP="00CA1404">
      <w:pPr>
        <w:numPr>
          <w:ilvl w:val="0"/>
          <w:numId w:val="4"/>
        </w:num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Grading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assignment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reflect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successful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students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their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knowledge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(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e.g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theoretical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framework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practical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presentations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well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understand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pathways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etc.)</w:t>
      </w:r>
    </w:p>
    <w:p w:rsidR="00CA1404" w:rsidRPr="008555E9" w:rsidRDefault="00CA1404" w:rsidP="00CA1404">
      <w:pPr>
        <w:spacing w:after="0" w:line="240" w:lineRule="auto"/>
        <w:jc w:val="both"/>
        <w:rPr>
          <w:rFonts w:ascii="Fotogram Light" w:eastAsia="Fotogram Light" w:hAnsi="Fotogram Light" w:cs="Fotogram Light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A1404" w:rsidRPr="005D0DE2" w:rsidTr="008555E9">
        <w:tc>
          <w:tcPr>
            <w:tcW w:w="9062" w:type="dxa"/>
            <w:shd w:val="clear" w:color="auto" w:fill="D9D9D9"/>
          </w:tcPr>
          <w:p w:rsidR="00CA1404" w:rsidRPr="008555E9" w:rsidRDefault="00CA1404" w:rsidP="008555E9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20"/>
                <w:szCs w:val="20"/>
              </w:rPr>
            </w:pPr>
            <w:r w:rsidRPr="008555E9">
              <w:rPr>
                <w:rFonts w:ascii="Fotogram Light" w:hAnsi="Fotogram Light"/>
                <w:b/>
                <w:sz w:val="20"/>
                <w:szCs w:val="20"/>
              </w:rPr>
              <w:t>Idegen nyelven történő indítás esetén az adott idegen nyelvű irodalom:</w:t>
            </w:r>
          </w:p>
        </w:tc>
      </w:tr>
    </w:tbl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Alink, L.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Cicchetti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D., Kim, J.,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Rogosch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F. A. (2012).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Longitudinal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associations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among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maltreatment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social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functioning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cortisol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regulation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48(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1), 224-236. doi:10.1037/a0024892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Berg-Nielsen, T. S.,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Vikan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A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Dahl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A., A. (2002):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related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psychopathology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descriptive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Clinical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Psychiatry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,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7; 529-552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Bruck, M.,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Ceci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S. (2004).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Forensic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Unveiling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four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common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misconceptions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 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Current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Directions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Psychological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Science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>, 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13(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6), 229-232. doi:10.1111/j.0963-7214.2004.00314.x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Christensen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E. (1997):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Aspects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Preventive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Approach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to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Support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Alcoholics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Abuse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Vol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6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24-34.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Siti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Nor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Ismalina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Ishak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Ismarul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Rahman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Azriani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Saat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Nur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Normah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Che Din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Lubis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Syarif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Mohd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Ismail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Muhammad. (2016). Health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quality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life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among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caregivers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disabilities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Asian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Journal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Psychiatry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 23.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Jones, M.,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Pietilä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I.,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Joronen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K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Simpson, W., Gray, S.,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Kaunonen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M. (2016).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illness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–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qualitative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study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identities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experiences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support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services. 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Journal of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Psychiatric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Mental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Health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Nursing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doi:10.1111/jpm.12321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Macfie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J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Brumariu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L. E.,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Lyons-Ruth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K. (2015):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Parent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–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role-confusion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critical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an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emerging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concept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 34-57.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Saywitz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K. J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Larson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R. P.,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Hobbs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S. D., &amp; Wells, C. R. (2015).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Developing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rapport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with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forensic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interviews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Systematic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experimental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research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 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Behavioral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Sciences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 &amp; The Law</w:t>
      </w:r>
      <w:r w:rsidRPr="008555E9">
        <w:rPr>
          <w:rFonts w:ascii="Fotogram Light" w:eastAsia="Fotogram Light" w:hAnsi="Fotogram Light" w:cs="Fotogram Light"/>
          <w:sz w:val="20"/>
          <w:szCs w:val="20"/>
        </w:rPr>
        <w:t>, 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33(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4), 372-389. doi:10.1002/bsl.2186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Zumbach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 J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&amp;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Koglin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, U. (2015).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evaluations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family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law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proceedings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: A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systematic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review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of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the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contemporary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008555E9">
        <w:rPr>
          <w:rFonts w:ascii="Fotogram Light" w:eastAsia="Fotogram Light" w:hAnsi="Fotogram Light" w:cs="Fotogram Light"/>
          <w:sz w:val="20"/>
          <w:szCs w:val="20"/>
        </w:rPr>
        <w:t>literature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. </w:t>
      </w:r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Professional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Psychology</w:t>
      </w:r>
      <w:proofErr w:type="spellEnd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 xml:space="preserve">: Research and </w:t>
      </w:r>
      <w:proofErr w:type="spellStart"/>
      <w:r w:rsidRPr="008555E9">
        <w:rPr>
          <w:rFonts w:ascii="Fotogram Light" w:eastAsia="Fotogram Light" w:hAnsi="Fotogram Light" w:cs="Fotogram Light"/>
          <w:i/>
          <w:sz w:val="20"/>
          <w:szCs w:val="20"/>
        </w:rPr>
        <w:t>Practice</w:t>
      </w:r>
      <w:proofErr w:type="spellEnd"/>
      <w:r w:rsidRPr="008555E9">
        <w:rPr>
          <w:rFonts w:ascii="Fotogram Light" w:eastAsia="Fotogram Light" w:hAnsi="Fotogram Light" w:cs="Fotogram Light"/>
          <w:sz w:val="20"/>
          <w:szCs w:val="20"/>
        </w:rPr>
        <w:t>, </w:t>
      </w:r>
      <w:proofErr w:type="gramStart"/>
      <w:r w:rsidRPr="008555E9">
        <w:rPr>
          <w:rFonts w:ascii="Fotogram Light" w:eastAsia="Fotogram Light" w:hAnsi="Fotogram Light" w:cs="Fotogram Light"/>
          <w:sz w:val="20"/>
          <w:szCs w:val="20"/>
        </w:rPr>
        <w:t>46(</w:t>
      </w:r>
      <w:proofErr w:type="gramEnd"/>
      <w:r w:rsidRPr="008555E9">
        <w:rPr>
          <w:rFonts w:ascii="Fotogram Light" w:eastAsia="Fotogram Light" w:hAnsi="Fotogram Light" w:cs="Fotogram Light"/>
          <w:sz w:val="20"/>
          <w:szCs w:val="20"/>
        </w:rPr>
        <w:t>4), 221-234. doi:10.1037/a0039329</w:t>
      </w:r>
    </w:p>
    <w:p w:rsidR="00CA1404" w:rsidRPr="008555E9" w:rsidRDefault="00CA1404" w:rsidP="00CA1404">
      <w:pPr>
        <w:spacing w:after="0" w:line="240" w:lineRule="auto"/>
        <w:rPr>
          <w:rFonts w:ascii="Fotogram Light" w:eastAsia="Fotogram Light" w:hAnsi="Fotogram Light" w:cs="Fotogram Light"/>
          <w:sz w:val="20"/>
          <w:szCs w:val="20"/>
        </w:rPr>
      </w:pPr>
    </w:p>
    <w:p w:rsidR="00844B60" w:rsidRDefault="00844B60"/>
    <w:sectPr w:rsidR="0084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altName w:val="Calibri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A5"/>
    <w:multiLevelType w:val="hybridMultilevel"/>
    <w:tmpl w:val="44748CB2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D94AE3"/>
    <w:multiLevelType w:val="hybridMultilevel"/>
    <w:tmpl w:val="3B00F6C2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057A1B"/>
    <w:multiLevelType w:val="multilevel"/>
    <w:tmpl w:val="77964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222AA5"/>
    <w:multiLevelType w:val="multilevel"/>
    <w:tmpl w:val="5A2E0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56101B"/>
    <w:multiLevelType w:val="multilevel"/>
    <w:tmpl w:val="33943B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9C2B12"/>
    <w:multiLevelType w:val="multilevel"/>
    <w:tmpl w:val="018A5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CF4A9D"/>
    <w:multiLevelType w:val="multilevel"/>
    <w:tmpl w:val="39A6F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1E05EC"/>
    <w:multiLevelType w:val="hybridMultilevel"/>
    <w:tmpl w:val="D9F05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4"/>
    <w:rsid w:val="00844B60"/>
    <w:rsid w:val="00C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B75C"/>
  <w15:chartTrackingRefBased/>
  <w15:docId w15:val="{4E264C0F-B335-4A74-A4C0-AC71C55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40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404"/>
    <w:pPr>
      <w:spacing w:after="0" w:line="240" w:lineRule="auto"/>
      <w:ind w:left="720"/>
      <w:contextualSpacing/>
      <w:jc w:val="both"/>
    </w:pPr>
    <w:rPr>
      <w:rFonts w:ascii="Garamond" w:hAnsi="Garamo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Nádas Edina Éva</cp:lastModifiedBy>
  <cp:revision>1</cp:revision>
  <dcterms:created xsi:type="dcterms:W3CDTF">2021-08-22T15:40:00Z</dcterms:created>
  <dcterms:modified xsi:type="dcterms:W3CDTF">2021-08-22T15:41:00Z</dcterms:modified>
</cp:coreProperties>
</file>